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B3C" w:rsidRPr="006E1B3C" w:rsidRDefault="006E1B3C" w:rsidP="006E1B3C">
      <w:pPr>
        <w:jc w:val="center"/>
        <w:rPr>
          <w:b/>
          <w:sz w:val="36"/>
        </w:rPr>
      </w:pPr>
      <w:r w:rsidRPr="006E1B3C">
        <w:rPr>
          <w:b/>
          <w:sz w:val="36"/>
        </w:rPr>
        <w:t>Fortbildungen – Burgenland – SJ 2022/2023</w:t>
      </w:r>
    </w:p>
    <w:p w:rsidR="006E1B3C" w:rsidRPr="006E1B3C" w:rsidRDefault="006E1B3C" w:rsidP="006E1B3C">
      <w:pPr>
        <w:jc w:val="both"/>
        <w:rPr>
          <w:sz w:val="24"/>
        </w:rPr>
      </w:pPr>
    </w:p>
    <w:p w:rsidR="006E1B3C" w:rsidRDefault="006E1B3C" w:rsidP="006E1B3C">
      <w:pPr>
        <w:jc w:val="both"/>
        <w:rPr>
          <w:sz w:val="24"/>
        </w:rPr>
      </w:pPr>
    </w:p>
    <w:p w:rsidR="006E1B3C" w:rsidRPr="006E1B3C" w:rsidRDefault="006E1B3C" w:rsidP="006E1B3C">
      <w:pPr>
        <w:jc w:val="both"/>
        <w:rPr>
          <w:b/>
          <w:i/>
          <w:sz w:val="28"/>
        </w:rPr>
      </w:pPr>
      <w:r w:rsidRPr="006E1B3C">
        <w:rPr>
          <w:b/>
          <w:i/>
          <w:sz w:val="28"/>
        </w:rPr>
        <w:t>Begabtenförderung in der Chemie</w:t>
      </w:r>
    </w:p>
    <w:p w:rsidR="006E1B3C" w:rsidRPr="006E1B3C" w:rsidRDefault="006E1B3C" w:rsidP="006E1B3C">
      <w:pPr>
        <w:jc w:val="both"/>
        <w:rPr>
          <w:sz w:val="24"/>
        </w:rPr>
      </w:pPr>
    </w:p>
    <w:p w:rsidR="006E1B3C" w:rsidRPr="006E1B3C" w:rsidRDefault="006E1B3C" w:rsidP="006E1B3C">
      <w:pPr>
        <w:jc w:val="both"/>
        <w:rPr>
          <w:b/>
          <w:sz w:val="24"/>
        </w:rPr>
      </w:pPr>
      <w:r w:rsidRPr="006E1B3C">
        <w:rPr>
          <w:b/>
          <w:sz w:val="24"/>
        </w:rPr>
        <w:t>Vortragende*r (Mitwirkende*r)</w:t>
      </w:r>
    </w:p>
    <w:p w:rsidR="006E1B3C" w:rsidRPr="006E1B3C" w:rsidRDefault="006E1B3C" w:rsidP="006E1B3C">
      <w:pPr>
        <w:ind w:firstLine="708"/>
        <w:jc w:val="both"/>
        <w:rPr>
          <w:sz w:val="24"/>
        </w:rPr>
      </w:pPr>
      <w:r w:rsidRPr="006E1B3C">
        <w:rPr>
          <w:sz w:val="24"/>
        </w:rPr>
        <w:t>Kern, Gerhard</w:t>
      </w:r>
    </w:p>
    <w:p w:rsidR="006E1B3C" w:rsidRPr="006E1B3C" w:rsidRDefault="006E1B3C" w:rsidP="006E1B3C">
      <w:pPr>
        <w:ind w:firstLine="708"/>
        <w:jc w:val="both"/>
        <w:rPr>
          <w:sz w:val="24"/>
        </w:rPr>
      </w:pPr>
      <w:r w:rsidRPr="006E1B3C">
        <w:rPr>
          <w:sz w:val="24"/>
        </w:rPr>
        <w:t>Kerschbaumer, Manfred</w:t>
      </w:r>
    </w:p>
    <w:p w:rsidR="006E1B3C" w:rsidRPr="006E1B3C" w:rsidRDefault="006E1B3C" w:rsidP="006E1B3C">
      <w:pPr>
        <w:ind w:firstLine="708"/>
        <w:jc w:val="both"/>
        <w:rPr>
          <w:sz w:val="24"/>
        </w:rPr>
      </w:pPr>
      <w:r w:rsidRPr="006E1B3C">
        <w:rPr>
          <w:sz w:val="24"/>
        </w:rPr>
        <w:t>Zinkl, Rene</w:t>
      </w:r>
    </w:p>
    <w:p w:rsidR="006E1B3C" w:rsidRPr="006E1B3C" w:rsidRDefault="006E1B3C" w:rsidP="006E1B3C">
      <w:pPr>
        <w:jc w:val="both"/>
        <w:rPr>
          <w:sz w:val="24"/>
        </w:rPr>
      </w:pPr>
    </w:p>
    <w:p w:rsidR="006E1B3C" w:rsidRPr="006E1B3C" w:rsidRDefault="006E1B3C" w:rsidP="006E1B3C">
      <w:pPr>
        <w:jc w:val="both"/>
        <w:rPr>
          <w:b/>
          <w:sz w:val="24"/>
        </w:rPr>
      </w:pPr>
      <w:r w:rsidRPr="006E1B3C">
        <w:rPr>
          <w:b/>
          <w:sz w:val="24"/>
        </w:rPr>
        <w:t>Inhalt</w:t>
      </w:r>
    </w:p>
    <w:p w:rsidR="006E1B3C" w:rsidRPr="006E1B3C" w:rsidRDefault="006E1B3C" w:rsidP="006E1B3C">
      <w:pPr>
        <w:jc w:val="both"/>
        <w:rPr>
          <w:sz w:val="24"/>
        </w:rPr>
      </w:pPr>
      <w:r w:rsidRPr="006E1B3C">
        <w:rPr>
          <w:sz w:val="24"/>
        </w:rPr>
        <w:t xml:space="preserve">Die Veranstaltung besteht aus zwei Teilen: Das Vormittagsprogramm soll dem Thema „Experimente“ gewidmet werden. Dazu werden die </w:t>
      </w:r>
      <w:proofErr w:type="spellStart"/>
      <w:r w:rsidRPr="006E1B3C">
        <w:rPr>
          <w:sz w:val="24"/>
        </w:rPr>
        <w:t>Teilnehmer_innen</w:t>
      </w:r>
      <w:proofErr w:type="spellEnd"/>
      <w:r w:rsidRPr="006E1B3C">
        <w:rPr>
          <w:sz w:val="24"/>
        </w:rPr>
        <w:t xml:space="preserve"> gebeten, ihr einzigartiges Experiment oder das didaktisch wertvollste Experiment zu präsentieren, damit auch die anderen </w:t>
      </w:r>
      <w:proofErr w:type="spellStart"/>
      <w:r w:rsidRPr="006E1B3C">
        <w:rPr>
          <w:sz w:val="24"/>
        </w:rPr>
        <w:t>Teilnehmer_innen</w:t>
      </w:r>
      <w:proofErr w:type="spellEnd"/>
      <w:r w:rsidRPr="006E1B3C">
        <w:rPr>
          <w:sz w:val="24"/>
        </w:rPr>
        <w:t xml:space="preserve"> ihren Horizont dahingehend erweitern können. Außerdem sollen Themen diskutiert werden, die didaktisch im Unterricht immer wieder Probleme bereiten.</w:t>
      </w:r>
    </w:p>
    <w:p w:rsidR="006E1B3C" w:rsidRPr="006E1B3C" w:rsidRDefault="006E1B3C" w:rsidP="006E1B3C">
      <w:pPr>
        <w:jc w:val="both"/>
        <w:rPr>
          <w:sz w:val="24"/>
        </w:rPr>
      </w:pPr>
      <w:r w:rsidRPr="006E1B3C">
        <w:rPr>
          <w:sz w:val="24"/>
        </w:rPr>
        <w:t>Das Nachmittagsprogramm wird von Dr. Kerschbaumer gestaltet, der einen theoretischen Input zur Begabungsförderung und der Kompetenzorientierung anbietet. Anschließend gibt es einen Workshop zur qualitativen und quantitativen Analyse und deren Einsatz zur Förderung von Begabungen im Chemieunterricht.</w:t>
      </w:r>
    </w:p>
    <w:p w:rsidR="006E1B3C" w:rsidRPr="006E1B3C" w:rsidRDefault="006E1B3C" w:rsidP="006E1B3C">
      <w:pPr>
        <w:jc w:val="both"/>
        <w:rPr>
          <w:sz w:val="24"/>
        </w:rPr>
      </w:pPr>
    </w:p>
    <w:p w:rsidR="006E1B3C" w:rsidRPr="006E1B3C" w:rsidRDefault="006E1B3C" w:rsidP="006E1B3C">
      <w:pPr>
        <w:jc w:val="both"/>
        <w:rPr>
          <w:b/>
          <w:sz w:val="24"/>
        </w:rPr>
      </w:pPr>
      <w:r w:rsidRPr="006E1B3C">
        <w:rPr>
          <w:b/>
          <w:sz w:val="24"/>
        </w:rPr>
        <w:t>Ziel</w:t>
      </w:r>
    </w:p>
    <w:p w:rsidR="006E1B3C" w:rsidRDefault="006E1B3C" w:rsidP="006E1B3C">
      <w:pPr>
        <w:jc w:val="both"/>
        <w:rPr>
          <w:sz w:val="24"/>
        </w:rPr>
      </w:pPr>
      <w:r w:rsidRPr="006E1B3C">
        <w:rPr>
          <w:sz w:val="24"/>
        </w:rPr>
        <w:t xml:space="preserve">Die </w:t>
      </w:r>
      <w:proofErr w:type="spellStart"/>
      <w:r w:rsidRPr="006E1B3C">
        <w:rPr>
          <w:sz w:val="24"/>
        </w:rPr>
        <w:t>Teilnehmer_innen</w:t>
      </w:r>
      <w:proofErr w:type="spellEnd"/>
      <w:r w:rsidRPr="006E1B3C">
        <w:rPr>
          <w:sz w:val="24"/>
        </w:rPr>
        <w:t xml:space="preserve"> sollen didaktisch wertvolle Experimente vorstellen, damit andere einen Nutzen daraus ziehen und in ihren Unterricht integrieren können. Außerdem sollen didaktisch problematische Themen diskutiert werden, um diese in zukünftigen Seminaren aufzubereiten. Weiters sollen die </w:t>
      </w:r>
      <w:proofErr w:type="spellStart"/>
      <w:r w:rsidRPr="006E1B3C">
        <w:rPr>
          <w:sz w:val="24"/>
        </w:rPr>
        <w:t>Teilnehmer_innen</w:t>
      </w:r>
      <w:proofErr w:type="spellEnd"/>
      <w:r w:rsidRPr="006E1B3C">
        <w:rPr>
          <w:sz w:val="24"/>
        </w:rPr>
        <w:t xml:space="preserve"> eine Basis erhalten, um begabte </w:t>
      </w:r>
      <w:proofErr w:type="spellStart"/>
      <w:r w:rsidRPr="006E1B3C">
        <w:rPr>
          <w:sz w:val="24"/>
        </w:rPr>
        <w:t>Schüler_innen</w:t>
      </w:r>
      <w:proofErr w:type="spellEnd"/>
      <w:r w:rsidRPr="006E1B3C">
        <w:rPr>
          <w:sz w:val="24"/>
        </w:rPr>
        <w:t xml:space="preserve"> im Unterricht, Wahlpflichtfächern / Wahlmodulen und unverbindlichen Übungen zu fördern.</w:t>
      </w:r>
    </w:p>
    <w:p w:rsidR="006E1B3C" w:rsidRDefault="006E1B3C" w:rsidP="006E1B3C">
      <w:pPr>
        <w:jc w:val="both"/>
        <w:rPr>
          <w:sz w:val="24"/>
        </w:rPr>
      </w:pPr>
    </w:p>
    <w:p w:rsidR="006E1B3C" w:rsidRDefault="006E1B3C" w:rsidP="006E1B3C">
      <w:pPr>
        <w:jc w:val="both"/>
        <w:rPr>
          <w:sz w:val="24"/>
        </w:rPr>
      </w:pPr>
    </w:p>
    <w:p w:rsidR="006E1B3C" w:rsidRDefault="006E1B3C" w:rsidP="006E1B3C">
      <w:pPr>
        <w:jc w:val="both"/>
        <w:rPr>
          <w:sz w:val="24"/>
        </w:rPr>
      </w:pPr>
    </w:p>
    <w:p w:rsidR="006E1B3C" w:rsidRDefault="006E1B3C" w:rsidP="006E1B3C">
      <w:pPr>
        <w:jc w:val="both"/>
        <w:rPr>
          <w:sz w:val="24"/>
        </w:rPr>
      </w:pPr>
    </w:p>
    <w:p w:rsidR="006E1B3C" w:rsidRDefault="006E1B3C" w:rsidP="006E1B3C">
      <w:pPr>
        <w:jc w:val="both"/>
        <w:rPr>
          <w:sz w:val="24"/>
        </w:rPr>
      </w:pPr>
    </w:p>
    <w:p w:rsidR="006E1B3C" w:rsidRDefault="006E1B3C" w:rsidP="006E1B3C">
      <w:pPr>
        <w:jc w:val="both"/>
        <w:rPr>
          <w:b/>
          <w:i/>
          <w:sz w:val="28"/>
        </w:rPr>
      </w:pPr>
      <w:r w:rsidRPr="006E1B3C">
        <w:rPr>
          <w:b/>
          <w:i/>
          <w:sz w:val="28"/>
        </w:rPr>
        <w:lastRenderedPageBreak/>
        <w:t>Nahrungsergänzungsmittel – Was essen wir da?</w:t>
      </w:r>
    </w:p>
    <w:p w:rsidR="006E1B3C" w:rsidRDefault="006E1B3C" w:rsidP="006E1B3C">
      <w:pPr>
        <w:jc w:val="both"/>
        <w:rPr>
          <w:b/>
          <w:i/>
          <w:sz w:val="28"/>
        </w:rPr>
      </w:pPr>
    </w:p>
    <w:p w:rsidR="006E1B3C" w:rsidRPr="006E1B3C" w:rsidRDefault="006E1B3C" w:rsidP="006E1B3C">
      <w:pPr>
        <w:jc w:val="both"/>
        <w:rPr>
          <w:b/>
          <w:sz w:val="24"/>
        </w:rPr>
      </w:pPr>
      <w:r w:rsidRPr="006E1B3C">
        <w:rPr>
          <w:b/>
          <w:sz w:val="24"/>
        </w:rPr>
        <w:t>Vortragende*r (Mitwirkende*r)</w:t>
      </w:r>
    </w:p>
    <w:p w:rsidR="006E1B3C" w:rsidRPr="006E1B3C" w:rsidRDefault="006E1B3C" w:rsidP="006E1B3C">
      <w:pPr>
        <w:ind w:firstLine="708"/>
        <w:jc w:val="both"/>
        <w:rPr>
          <w:sz w:val="24"/>
        </w:rPr>
      </w:pPr>
      <w:r w:rsidRPr="006E1B3C">
        <w:rPr>
          <w:sz w:val="24"/>
        </w:rPr>
        <w:t>Zinkl, Rene</w:t>
      </w:r>
    </w:p>
    <w:p w:rsidR="006E1B3C" w:rsidRDefault="006E1B3C" w:rsidP="006E1B3C">
      <w:pPr>
        <w:jc w:val="both"/>
        <w:rPr>
          <w:b/>
          <w:i/>
          <w:sz w:val="28"/>
        </w:rPr>
      </w:pPr>
    </w:p>
    <w:p w:rsidR="006E1B3C" w:rsidRDefault="006E1B3C" w:rsidP="006E1B3C">
      <w:pPr>
        <w:jc w:val="both"/>
        <w:rPr>
          <w:b/>
          <w:sz w:val="24"/>
        </w:rPr>
      </w:pPr>
      <w:r w:rsidRPr="006E1B3C">
        <w:rPr>
          <w:b/>
          <w:sz w:val="24"/>
        </w:rPr>
        <w:t>Inhalt</w:t>
      </w:r>
    </w:p>
    <w:p w:rsidR="006E1B3C" w:rsidRDefault="006E1B3C" w:rsidP="006E1B3C">
      <w:pPr>
        <w:jc w:val="both"/>
        <w:rPr>
          <w:sz w:val="24"/>
        </w:rPr>
      </w:pPr>
      <w:r w:rsidRPr="006E1B3C">
        <w:rPr>
          <w:sz w:val="24"/>
        </w:rPr>
        <w:t xml:space="preserve">Die Lehrveranstaltung wird einen Überblick über häufig verwendete Nahrungsergänzungsmittel und Nahrungsmittelzusatzstoffe und deren möglicherweise positiven und negativen Folgen auf die menschliche Gesundheit liefern. Es werden außerdem Inhaltsstoffe von ausgewählten Ergänzungsmitteln qualitativ und quantitativ untersucht und nachgewiesen, um so einen alternativen Zugang sowohl zur Lebensmittelchemie als auch zu klassischen Nachweisen in der Chemie für den Unterricht zu ermöglichen. </w:t>
      </w:r>
      <w:proofErr w:type="gramStart"/>
      <w:r w:rsidRPr="006E1B3C">
        <w:rPr>
          <w:sz w:val="24"/>
        </w:rPr>
        <w:t>Ein offene Diskussion</w:t>
      </w:r>
      <w:proofErr w:type="gramEnd"/>
      <w:r w:rsidRPr="006E1B3C">
        <w:rPr>
          <w:sz w:val="24"/>
        </w:rPr>
        <w:t xml:space="preserve"> über diese Inhalte und dem Einsatz im Unterricht wird diese Lehrveranstaltung abschließen.</w:t>
      </w:r>
    </w:p>
    <w:p w:rsidR="006E1B3C" w:rsidRDefault="006E1B3C" w:rsidP="006E1B3C">
      <w:pPr>
        <w:jc w:val="both"/>
        <w:rPr>
          <w:sz w:val="24"/>
        </w:rPr>
      </w:pPr>
    </w:p>
    <w:p w:rsidR="006E1B3C" w:rsidRPr="006E1B3C" w:rsidRDefault="006E1B3C" w:rsidP="006E1B3C">
      <w:pPr>
        <w:jc w:val="both"/>
        <w:rPr>
          <w:b/>
          <w:sz w:val="24"/>
        </w:rPr>
      </w:pPr>
      <w:r w:rsidRPr="006E1B3C">
        <w:rPr>
          <w:b/>
          <w:sz w:val="24"/>
        </w:rPr>
        <w:t>Ziel</w:t>
      </w:r>
    </w:p>
    <w:p w:rsidR="006E1B3C" w:rsidRDefault="006E1B3C" w:rsidP="006E1B3C">
      <w:pPr>
        <w:jc w:val="both"/>
        <w:rPr>
          <w:sz w:val="24"/>
        </w:rPr>
      </w:pPr>
      <w:r w:rsidRPr="006E1B3C">
        <w:rPr>
          <w:sz w:val="24"/>
        </w:rPr>
        <w:t xml:space="preserve">Die </w:t>
      </w:r>
      <w:proofErr w:type="spellStart"/>
      <w:r w:rsidRPr="006E1B3C">
        <w:rPr>
          <w:sz w:val="24"/>
        </w:rPr>
        <w:t>Teilnehmer_innen</w:t>
      </w:r>
      <w:proofErr w:type="spellEnd"/>
      <w:r w:rsidRPr="006E1B3C">
        <w:rPr>
          <w:sz w:val="24"/>
        </w:rPr>
        <w:t xml:space="preserve"> erhalten weitere didaktische Zugänge zu klassischen Nachweisen in der Chemie. Es sollen Zugänge zu verschiedenen Themen für den Unterricht didaktisch aufbereitet werden, um den problemorientierten und schülerzentrierten Unterricht zu fördern. Das Schülerexperiment soll dabei im Mittelpunkt stehen.</w:t>
      </w:r>
      <w:bookmarkStart w:id="0" w:name="_GoBack"/>
      <w:bookmarkEnd w:id="0"/>
    </w:p>
    <w:p w:rsidR="006E1B3C" w:rsidRPr="006E1B3C" w:rsidRDefault="006E1B3C" w:rsidP="006E1B3C">
      <w:pPr>
        <w:jc w:val="both"/>
        <w:rPr>
          <w:sz w:val="24"/>
        </w:rPr>
      </w:pPr>
    </w:p>
    <w:p w:rsidR="006E1B3C" w:rsidRPr="006E1B3C" w:rsidRDefault="006E1B3C" w:rsidP="006E1B3C">
      <w:pPr>
        <w:jc w:val="both"/>
        <w:rPr>
          <w:sz w:val="24"/>
        </w:rPr>
      </w:pPr>
    </w:p>
    <w:p w:rsidR="006E1B3C" w:rsidRPr="006E1B3C" w:rsidRDefault="006E1B3C" w:rsidP="006E1B3C">
      <w:pPr>
        <w:jc w:val="both"/>
        <w:rPr>
          <w:sz w:val="24"/>
        </w:rPr>
      </w:pPr>
    </w:p>
    <w:p w:rsidR="006E1B3C" w:rsidRPr="006E1B3C" w:rsidRDefault="006E1B3C" w:rsidP="006E1B3C">
      <w:pPr>
        <w:jc w:val="both"/>
        <w:rPr>
          <w:sz w:val="24"/>
        </w:rPr>
      </w:pPr>
    </w:p>
    <w:p w:rsidR="006E1B3C" w:rsidRPr="006E1B3C" w:rsidRDefault="006E1B3C" w:rsidP="006E1B3C">
      <w:pPr>
        <w:jc w:val="both"/>
        <w:rPr>
          <w:b/>
          <w:sz w:val="24"/>
        </w:rPr>
      </w:pPr>
    </w:p>
    <w:sectPr w:rsidR="006E1B3C" w:rsidRPr="006E1B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3C"/>
    <w:rsid w:val="006E1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BC70"/>
  <w15:chartTrackingRefBased/>
  <w15:docId w15:val="{BBE6C8FA-E73B-4714-B78F-4FB46954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88875">
      <w:bodyDiv w:val="1"/>
      <w:marLeft w:val="0"/>
      <w:marRight w:val="0"/>
      <w:marTop w:val="0"/>
      <w:marBottom w:val="0"/>
      <w:divBdr>
        <w:top w:val="none" w:sz="0" w:space="0" w:color="auto"/>
        <w:left w:val="none" w:sz="0" w:space="0" w:color="auto"/>
        <w:bottom w:val="none" w:sz="0" w:space="0" w:color="auto"/>
        <w:right w:val="none" w:sz="0" w:space="0" w:color="auto"/>
      </w:divBdr>
      <w:divsChild>
        <w:div w:id="938953944">
          <w:marLeft w:val="0"/>
          <w:marRight w:val="0"/>
          <w:marTop w:val="0"/>
          <w:marBottom w:val="0"/>
          <w:divBdr>
            <w:top w:val="none" w:sz="0" w:space="0" w:color="auto"/>
            <w:left w:val="none" w:sz="0" w:space="0" w:color="auto"/>
            <w:bottom w:val="none" w:sz="0" w:space="0" w:color="auto"/>
            <w:right w:val="none" w:sz="0" w:space="0" w:color="auto"/>
          </w:divBdr>
          <w:divsChild>
            <w:div w:id="924262177">
              <w:marLeft w:val="0"/>
              <w:marRight w:val="0"/>
              <w:marTop w:val="0"/>
              <w:marBottom w:val="0"/>
              <w:divBdr>
                <w:top w:val="none" w:sz="0" w:space="0" w:color="auto"/>
                <w:left w:val="none" w:sz="0" w:space="0" w:color="auto"/>
                <w:bottom w:val="none" w:sz="0" w:space="0" w:color="auto"/>
                <w:right w:val="none" w:sz="0" w:space="0" w:color="auto"/>
              </w:divBdr>
              <w:divsChild>
                <w:div w:id="398476511">
                  <w:marLeft w:val="0"/>
                  <w:marRight w:val="0"/>
                  <w:marTop w:val="0"/>
                  <w:marBottom w:val="0"/>
                  <w:divBdr>
                    <w:top w:val="none" w:sz="0" w:space="0" w:color="auto"/>
                    <w:left w:val="none" w:sz="0" w:space="0" w:color="auto"/>
                    <w:bottom w:val="none" w:sz="0" w:space="0" w:color="auto"/>
                    <w:right w:val="none" w:sz="0" w:space="0" w:color="auto"/>
                  </w:divBdr>
                  <w:divsChild>
                    <w:div w:id="363797910">
                      <w:marLeft w:val="0"/>
                      <w:marRight w:val="0"/>
                      <w:marTop w:val="0"/>
                      <w:marBottom w:val="0"/>
                      <w:divBdr>
                        <w:top w:val="none" w:sz="0" w:space="0" w:color="auto"/>
                        <w:left w:val="none" w:sz="0" w:space="0" w:color="auto"/>
                        <w:bottom w:val="none" w:sz="0" w:space="0" w:color="auto"/>
                        <w:right w:val="none" w:sz="0" w:space="0" w:color="auto"/>
                      </w:divBdr>
                    </w:div>
                  </w:divsChild>
                </w:div>
                <w:div w:id="1583636411">
                  <w:marLeft w:val="0"/>
                  <w:marRight w:val="0"/>
                  <w:marTop w:val="0"/>
                  <w:marBottom w:val="0"/>
                  <w:divBdr>
                    <w:top w:val="none" w:sz="0" w:space="0" w:color="auto"/>
                    <w:left w:val="none" w:sz="0" w:space="0" w:color="auto"/>
                    <w:bottom w:val="none" w:sz="0" w:space="0" w:color="auto"/>
                    <w:right w:val="none" w:sz="0" w:space="0" w:color="auto"/>
                  </w:divBdr>
                  <w:divsChild>
                    <w:div w:id="707486826">
                      <w:marLeft w:val="0"/>
                      <w:marRight w:val="0"/>
                      <w:marTop w:val="0"/>
                      <w:marBottom w:val="0"/>
                      <w:divBdr>
                        <w:top w:val="none" w:sz="0" w:space="0" w:color="auto"/>
                        <w:left w:val="none" w:sz="0" w:space="0" w:color="auto"/>
                        <w:bottom w:val="none" w:sz="0" w:space="0" w:color="auto"/>
                        <w:right w:val="none" w:sz="0" w:space="0" w:color="auto"/>
                      </w:divBdr>
                    </w:div>
                  </w:divsChild>
                </w:div>
                <w:div w:id="895626661">
                  <w:marLeft w:val="0"/>
                  <w:marRight w:val="0"/>
                  <w:marTop w:val="0"/>
                  <w:marBottom w:val="0"/>
                  <w:divBdr>
                    <w:top w:val="none" w:sz="0" w:space="0" w:color="auto"/>
                    <w:left w:val="none" w:sz="0" w:space="0" w:color="auto"/>
                    <w:bottom w:val="none" w:sz="0" w:space="0" w:color="auto"/>
                    <w:right w:val="none" w:sz="0" w:space="0" w:color="auto"/>
                  </w:divBdr>
                  <w:divsChild>
                    <w:div w:id="9561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74639">
      <w:bodyDiv w:val="1"/>
      <w:marLeft w:val="0"/>
      <w:marRight w:val="0"/>
      <w:marTop w:val="0"/>
      <w:marBottom w:val="0"/>
      <w:divBdr>
        <w:top w:val="none" w:sz="0" w:space="0" w:color="auto"/>
        <w:left w:val="none" w:sz="0" w:space="0" w:color="auto"/>
        <w:bottom w:val="none" w:sz="0" w:space="0" w:color="auto"/>
        <w:right w:val="none" w:sz="0" w:space="0" w:color="auto"/>
      </w:divBdr>
      <w:divsChild>
        <w:div w:id="1367102241">
          <w:marLeft w:val="0"/>
          <w:marRight w:val="0"/>
          <w:marTop w:val="0"/>
          <w:marBottom w:val="0"/>
          <w:divBdr>
            <w:top w:val="none" w:sz="0" w:space="0" w:color="auto"/>
            <w:left w:val="none" w:sz="0" w:space="0" w:color="auto"/>
            <w:bottom w:val="none" w:sz="0" w:space="0" w:color="auto"/>
            <w:right w:val="none" w:sz="0" w:space="0" w:color="auto"/>
          </w:divBdr>
          <w:divsChild>
            <w:div w:id="1016810894">
              <w:marLeft w:val="0"/>
              <w:marRight w:val="0"/>
              <w:marTop w:val="0"/>
              <w:marBottom w:val="0"/>
              <w:divBdr>
                <w:top w:val="none" w:sz="0" w:space="0" w:color="auto"/>
                <w:left w:val="none" w:sz="0" w:space="0" w:color="auto"/>
                <w:bottom w:val="none" w:sz="0" w:space="0" w:color="auto"/>
                <w:right w:val="none" w:sz="0" w:space="0" w:color="auto"/>
              </w:divBdr>
              <w:divsChild>
                <w:div w:id="979730054">
                  <w:marLeft w:val="0"/>
                  <w:marRight w:val="0"/>
                  <w:marTop w:val="0"/>
                  <w:marBottom w:val="0"/>
                  <w:divBdr>
                    <w:top w:val="none" w:sz="0" w:space="0" w:color="auto"/>
                    <w:left w:val="none" w:sz="0" w:space="0" w:color="auto"/>
                    <w:bottom w:val="none" w:sz="0" w:space="0" w:color="auto"/>
                    <w:right w:val="none" w:sz="0" w:space="0" w:color="auto"/>
                  </w:divBdr>
                  <w:divsChild>
                    <w:div w:id="1461872979">
                      <w:marLeft w:val="0"/>
                      <w:marRight w:val="0"/>
                      <w:marTop w:val="0"/>
                      <w:marBottom w:val="0"/>
                      <w:divBdr>
                        <w:top w:val="none" w:sz="0" w:space="0" w:color="auto"/>
                        <w:left w:val="none" w:sz="0" w:space="0" w:color="auto"/>
                        <w:bottom w:val="none" w:sz="0" w:space="0" w:color="auto"/>
                        <w:right w:val="none" w:sz="0" w:space="0" w:color="auto"/>
                      </w:divBdr>
                    </w:div>
                  </w:divsChild>
                </w:div>
                <w:div w:id="1657955059">
                  <w:marLeft w:val="0"/>
                  <w:marRight w:val="0"/>
                  <w:marTop w:val="0"/>
                  <w:marBottom w:val="0"/>
                  <w:divBdr>
                    <w:top w:val="none" w:sz="0" w:space="0" w:color="auto"/>
                    <w:left w:val="none" w:sz="0" w:space="0" w:color="auto"/>
                    <w:bottom w:val="none" w:sz="0" w:space="0" w:color="auto"/>
                    <w:right w:val="none" w:sz="0" w:space="0" w:color="auto"/>
                  </w:divBdr>
                  <w:divsChild>
                    <w:div w:id="2062898007">
                      <w:marLeft w:val="0"/>
                      <w:marRight w:val="0"/>
                      <w:marTop w:val="0"/>
                      <w:marBottom w:val="0"/>
                      <w:divBdr>
                        <w:top w:val="none" w:sz="0" w:space="0" w:color="auto"/>
                        <w:left w:val="none" w:sz="0" w:space="0" w:color="auto"/>
                        <w:bottom w:val="none" w:sz="0" w:space="0" w:color="auto"/>
                        <w:right w:val="none" w:sz="0" w:space="0" w:color="auto"/>
                      </w:divBdr>
                    </w:div>
                  </w:divsChild>
                </w:div>
                <w:div w:id="663094471">
                  <w:marLeft w:val="0"/>
                  <w:marRight w:val="0"/>
                  <w:marTop w:val="0"/>
                  <w:marBottom w:val="0"/>
                  <w:divBdr>
                    <w:top w:val="none" w:sz="0" w:space="0" w:color="auto"/>
                    <w:left w:val="none" w:sz="0" w:space="0" w:color="auto"/>
                    <w:bottom w:val="none" w:sz="0" w:space="0" w:color="auto"/>
                    <w:right w:val="none" w:sz="0" w:space="0" w:color="auto"/>
                  </w:divBdr>
                  <w:divsChild>
                    <w:div w:id="8786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BORG Guessing</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Zinkl Rene</dc:creator>
  <cp:keywords/>
  <dc:description/>
  <cp:lastModifiedBy>Mag. Zinkl Rene</cp:lastModifiedBy>
  <cp:revision>1</cp:revision>
  <dcterms:created xsi:type="dcterms:W3CDTF">2022-05-16T08:29:00Z</dcterms:created>
  <dcterms:modified xsi:type="dcterms:W3CDTF">2022-05-16T08:33:00Z</dcterms:modified>
</cp:coreProperties>
</file>